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7D6" w:rsidRPr="003707D6" w:rsidRDefault="003707D6" w:rsidP="00077E1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1"/>
          <w:szCs w:val="21"/>
        </w:rPr>
      </w:pPr>
      <w:r>
        <w:rPr>
          <w:rFonts w:ascii="Calibri,Bold" w:hAnsi="Calibri,Bold" w:cs="Calibri,Bold"/>
          <w:b/>
          <w:bCs/>
          <w:sz w:val="21"/>
          <w:szCs w:val="21"/>
        </w:rPr>
        <w:tab/>
      </w:r>
      <w:r>
        <w:rPr>
          <w:rFonts w:ascii="Calibri,Bold" w:hAnsi="Calibri,Bold" w:cs="Calibri,Bold"/>
          <w:b/>
          <w:bCs/>
          <w:sz w:val="21"/>
          <w:szCs w:val="21"/>
        </w:rPr>
        <w:tab/>
      </w:r>
      <w:r>
        <w:rPr>
          <w:rFonts w:ascii="Calibri,Bold" w:hAnsi="Calibri,Bold" w:cs="Calibri,Bold"/>
          <w:b/>
          <w:bCs/>
          <w:sz w:val="21"/>
          <w:szCs w:val="21"/>
        </w:rPr>
        <w:tab/>
      </w:r>
      <w:r>
        <w:rPr>
          <w:rFonts w:ascii="Calibri,Bold" w:hAnsi="Calibri,Bold" w:cs="Calibri,Bold"/>
          <w:b/>
          <w:bCs/>
          <w:sz w:val="21"/>
          <w:szCs w:val="21"/>
        </w:rPr>
        <w:tab/>
      </w:r>
      <w:r>
        <w:rPr>
          <w:rFonts w:ascii="Calibri,Bold" w:hAnsi="Calibri,Bold" w:cs="Calibri,Bold"/>
          <w:b/>
          <w:bCs/>
          <w:sz w:val="21"/>
          <w:szCs w:val="21"/>
        </w:rPr>
        <w:tab/>
      </w:r>
      <w:r>
        <w:rPr>
          <w:rFonts w:ascii="Calibri,Bold" w:hAnsi="Calibri,Bold" w:cs="Calibri,Bold"/>
          <w:b/>
          <w:bCs/>
          <w:sz w:val="21"/>
          <w:szCs w:val="21"/>
        </w:rPr>
        <w:tab/>
      </w:r>
      <w:r>
        <w:rPr>
          <w:rFonts w:ascii="Calibri,Bold" w:hAnsi="Calibri,Bold" w:cs="Calibri,Bold"/>
          <w:b/>
          <w:bCs/>
          <w:sz w:val="21"/>
          <w:szCs w:val="21"/>
        </w:rPr>
        <w:tab/>
      </w:r>
      <w:r>
        <w:rPr>
          <w:rFonts w:ascii="Calibri,Bold" w:hAnsi="Calibri,Bold" w:cs="Calibri,Bold"/>
          <w:b/>
          <w:bCs/>
          <w:sz w:val="21"/>
          <w:szCs w:val="21"/>
        </w:rPr>
        <w:tab/>
      </w:r>
      <w:r>
        <w:rPr>
          <w:rFonts w:ascii="Calibri,Bold" w:hAnsi="Calibri,Bold" w:cs="Calibri,Bold"/>
          <w:b/>
          <w:bCs/>
          <w:sz w:val="21"/>
          <w:szCs w:val="21"/>
        </w:rPr>
        <w:tab/>
      </w:r>
      <w:r>
        <w:rPr>
          <w:rFonts w:ascii="Calibri,Bold" w:hAnsi="Calibri,Bold" w:cs="Calibri,Bold"/>
          <w:b/>
          <w:bCs/>
          <w:sz w:val="21"/>
          <w:szCs w:val="21"/>
        </w:rPr>
        <w:tab/>
      </w:r>
      <w:r w:rsidR="00586C05">
        <w:rPr>
          <w:rFonts w:ascii="Verdana" w:hAnsi="Verdana"/>
          <w:b/>
          <w:bCs/>
          <w:sz w:val="20"/>
          <w:szCs w:val="20"/>
        </w:rPr>
        <w:t>Annexure - B</w:t>
      </w: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1"/>
          <w:szCs w:val="21"/>
        </w:rPr>
      </w:pPr>
      <w:r w:rsidRPr="00D33957">
        <w:rPr>
          <w:rFonts w:ascii="Calibri,Bold" w:hAnsi="Calibri,Bold" w:cs="Calibri,Bold"/>
          <w:b/>
          <w:bCs/>
          <w:sz w:val="21"/>
          <w:szCs w:val="21"/>
          <w:u w:val="single"/>
        </w:rPr>
        <w:t>Pre-requisites for accessing VIDAL HEALTH TPA Web Application</w:t>
      </w:r>
      <w:r>
        <w:rPr>
          <w:rFonts w:ascii="Calibri,Bold" w:hAnsi="Calibri,Bold" w:cs="Calibri,Bold"/>
          <w:b/>
          <w:bCs/>
          <w:sz w:val="21"/>
          <w:szCs w:val="21"/>
        </w:rPr>
        <w:t>:</w:t>
      </w: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Application Supports IE/Mozilla/Chrome/Safari user has to </w:t>
      </w:r>
      <w:r w:rsidRPr="00D33957">
        <w:rPr>
          <w:rFonts w:ascii="Calibri" w:hAnsi="Calibri" w:cs="Calibri"/>
          <w:b/>
          <w:sz w:val="21"/>
          <w:szCs w:val="21"/>
        </w:rPr>
        <w:t>ensure the Pop-Up blocker is turned off</w:t>
      </w:r>
      <w:r>
        <w:rPr>
          <w:rFonts w:ascii="Calibri" w:hAnsi="Calibri" w:cs="Calibri"/>
          <w:sz w:val="21"/>
          <w:szCs w:val="21"/>
        </w:rPr>
        <w:t>.</w:t>
      </w: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1"/>
          <w:szCs w:val="21"/>
        </w:rPr>
      </w:pP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Italic" w:hAnsi="Calibri,BoldItalic" w:cs="Calibri,BoldItalic"/>
          <w:b/>
          <w:bCs/>
          <w:i/>
          <w:iCs/>
          <w:sz w:val="21"/>
          <w:szCs w:val="21"/>
        </w:rPr>
      </w:pPr>
      <w:r>
        <w:rPr>
          <w:rFonts w:ascii="Calibri,BoldItalic" w:hAnsi="Calibri,BoldItalic" w:cs="Calibri,BoldItalic"/>
          <w:b/>
          <w:bCs/>
          <w:i/>
          <w:iCs/>
          <w:sz w:val="21"/>
          <w:szCs w:val="21"/>
        </w:rPr>
        <w:t>(Process is mentioned below)</w:t>
      </w: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Italic" w:hAnsi="Calibri,BoldItalic" w:cs="Calibri,BoldItalic"/>
          <w:b/>
          <w:bCs/>
          <w:i/>
          <w:iCs/>
          <w:sz w:val="21"/>
          <w:szCs w:val="21"/>
        </w:rPr>
      </w:pP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1"/>
          <w:szCs w:val="21"/>
        </w:rPr>
      </w:pPr>
      <w:r>
        <w:rPr>
          <w:rFonts w:ascii="Calibri,Bold" w:hAnsi="Calibri,Bold" w:cs="Calibri,Bold"/>
          <w:b/>
          <w:bCs/>
          <w:sz w:val="21"/>
          <w:szCs w:val="21"/>
        </w:rPr>
        <w:t>Using Internet Explorer Browser</w:t>
      </w: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Under Tools Pop-up Blocker, you can notice the following menu option either Turn off Pop-up Blocker or Turn on Pop-up Blocker.</w:t>
      </w:r>
    </w:p>
    <w:p w:rsidR="00077E19" w:rsidRDefault="00077E19" w:rsidP="00077E19">
      <w:pPr>
        <w:rPr>
          <w:rFonts w:ascii="Calibri,Bold" w:hAnsi="Calibri,Bold" w:cs="Calibri,Bold"/>
          <w:b/>
          <w:bCs/>
          <w:sz w:val="21"/>
          <w:szCs w:val="21"/>
        </w:rPr>
      </w:pPr>
      <w:r>
        <w:rPr>
          <w:rFonts w:ascii="Calibri,Bold" w:hAnsi="Calibri,Bold" w:cs="Calibri,Bold"/>
          <w:b/>
          <w:bCs/>
          <w:noProof/>
          <w:sz w:val="21"/>
          <w:szCs w:val="21"/>
          <w:lang w:val="en-IN" w:eastAsia="en-IN"/>
        </w:rPr>
        <w:drawing>
          <wp:inline distT="0" distB="0" distL="0" distR="0">
            <wp:extent cx="4769708" cy="167041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405" cy="16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19" w:rsidRDefault="00077E19" w:rsidP="00077E19">
      <w:pPr>
        <w:rPr>
          <w:rFonts w:ascii="Calibri" w:hAnsi="Calibri" w:cs="Calibri"/>
          <w:sz w:val="21"/>
          <w:szCs w:val="21"/>
        </w:rPr>
      </w:pPr>
    </w:p>
    <w:p w:rsidR="00077E19" w:rsidRDefault="00077E19" w:rsidP="00077E1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1"/>
          <w:szCs w:val="21"/>
        </w:rPr>
      </w:pPr>
      <w:r>
        <w:rPr>
          <w:rFonts w:ascii="Calibri,Bold" w:hAnsi="Calibri,Bold" w:cs="Calibri,Bold"/>
          <w:b/>
          <w:bCs/>
          <w:color w:val="000000"/>
          <w:sz w:val="21"/>
          <w:szCs w:val="21"/>
        </w:rPr>
        <w:t>Procedure for accessing VIDAL HEALTH TPA Web Application:</w:t>
      </w:r>
    </w:p>
    <w:p w:rsidR="00077E19" w:rsidRDefault="00077E19" w:rsidP="00077E19">
      <w:pPr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 xml:space="preserve">User to visit our website </w:t>
      </w:r>
      <w:r>
        <w:rPr>
          <w:rFonts w:ascii="Calibri" w:hAnsi="Calibri" w:cs="Calibri"/>
          <w:color w:val="0000FF"/>
          <w:sz w:val="21"/>
          <w:szCs w:val="21"/>
        </w:rPr>
        <w:t xml:space="preserve">www.vidalhealthtpa.com </w:t>
      </w:r>
      <w:r>
        <w:rPr>
          <w:rFonts w:ascii="Calibri" w:hAnsi="Calibri" w:cs="Calibri"/>
          <w:color w:val="000000"/>
          <w:sz w:val="21"/>
          <w:szCs w:val="21"/>
        </w:rPr>
        <w:t xml:space="preserve">and employee will select </w:t>
      </w:r>
      <w:r>
        <w:rPr>
          <w:rFonts w:ascii="Times New Roman" w:hAnsi="Times New Roman"/>
          <w:b/>
          <w:bCs/>
          <w:sz w:val="20"/>
          <w:szCs w:val="20"/>
        </w:rPr>
        <w:t xml:space="preserve">Individual </w:t>
      </w:r>
      <w:r>
        <w:rPr>
          <w:rFonts w:ascii="Calibri" w:hAnsi="Calibri" w:cs="Calibri"/>
          <w:color w:val="000000"/>
          <w:sz w:val="21"/>
          <w:szCs w:val="21"/>
        </w:rPr>
        <w:t>login under the login tab</w:t>
      </w:r>
    </w:p>
    <w:p w:rsidR="00077E19" w:rsidRDefault="00077E19" w:rsidP="00077E19">
      <w:r>
        <w:rPr>
          <w:noProof/>
          <w:lang w:val="en-IN" w:eastAsia="en-IN"/>
        </w:rPr>
        <w:drawing>
          <wp:inline distT="0" distB="0" distL="0" distR="0">
            <wp:extent cx="5726261" cy="4124325"/>
            <wp:effectExtent l="19050" t="0" r="778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DB" w:rsidRDefault="003646DB" w:rsidP="00077E19"/>
    <w:p w:rsidR="00077E19" w:rsidRDefault="00077E19" w:rsidP="00077E19">
      <w:r>
        <w:lastRenderedPageBreak/>
        <w:t>Select Vidal Health TPA ID</w:t>
      </w:r>
    </w:p>
    <w:p w:rsidR="00077E19" w:rsidRDefault="00077E19" w:rsidP="00077E19">
      <w:r>
        <w:rPr>
          <w:noProof/>
          <w:lang w:val="en-IN" w:eastAsia="en-IN"/>
        </w:rPr>
        <w:drawing>
          <wp:inline distT="0" distB="0" distL="0" distR="0">
            <wp:extent cx="5741771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73" cy="274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19" w:rsidRDefault="00077E19" w:rsidP="00077E19">
      <w:r>
        <w:t>Enter your Vidal Health TPA ID , given the xl sheet against employee number wise.</w:t>
      </w:r>
    </w:p>
    <w:p w:rsidR="00077E19" w:rsidRDefault="00077E19" w:rsidP="00077E19">
      <w:r>
        <w:rPr>
          <w:noProof/>
          <w:lang w:val="en-IN" w:eastAsia="en-IN"/>
        </w:rPr>
        <w:drawing>
          <wp:inline distT="0" distB="0" distL="0" distR="0">
            <wp:extent cx="5731510" cy="322240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19" w:rsidRDefault="00077E19" w:rsidP="00077E19"/>
    <w:p w:rsidR="00077E19" w:rsidRDefault="00077E19" w:rsidP="00077E19"/>
    <w:p w:rsidR="00077E19" w:rsidRDefault="00077E19" w:rsidP="00077E19"/>
    <w:p w:rsidR="00077E19" w:rsidRDefault="00077E19" w:rsidP="00077E19"/>
    <w:p w:rsidR="005E1552" w:rsidRDefault="005E1552" w:rsidP="00077E19"/>
    <w:p w:rsidR="005E1552" w:rsidRDefault="005E1552" w:rsidP="00077E19"/>
    <w:p w:rsidR="00077E19" w:rsidRDefault="00077E19" w:rsidP="00077E19">
      <w:r>
        <w:lastRenderedPageBreak/>
        <w:t>Now, you view / download your e. Card as well see the pre-auth /claim status</w:t>
      </w:r>
    </w:p>
    <w:p w:rsidR="00077E19" w:rsidRDefault="00077E19" w:rsidP="00077E19">
      <w:r>
        <w:rPr>
          <w:noProof/>
          <w:lang w:val="en-IN" w:eastAsia="en-IN"/>
        </w:rPr>
        <w:drawing>
          <wp:inline distT="0" distB="0" distL="0" distR="0">
            <wp:extent cx="5731510" cy="3222401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E19" w:rsidRDefault="00077E19" w:rsidP="00077E19"/>
    <w:p w:rsidR="00077E19" w:rsidRDefault="00077E19" w:rsidP="00077E19">
      <w:bookmarkStart w:id="0" w:name="_GoBack"/>
      <w:bookmarkEnd w:id="0"/>
    </w:p>
    <w:p w:rsidR="00077E19" w:rsidRDefault="00077E19" w:rsidP="00077E19">
      <w:pPr>
        <w:rPr>
          <w:noProof/>
          <w:lang w:eastAsia="en-IN"/>
        </w:rPr>
      </w:pPr>
      <w:r>
        <w:rPr>
          <w:noProof/>
          <w:lang w:eastAsia="en-IN"/>
        </w:rPr>
        <w:t>E.card is download and print out can be taken.</w:t>
      </w:r>
    </w:p>
    <w:p w:rsidR="00E429D1" w:rsidRDefault="00077E19">
      <w:r w:rsidRPr="00077E19">
        <w:rPr>
          <w:noProof/>
          <w:lang w:val="en-IN" w:eastAsia="en-IN"/>
        </w:rPr>
        <w:drawing>
          <wp:inline distT="0" distB="0" distL="0" distR="0">
            <wp:extent cx="5731510" cy="3222401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9D1" w:rsidSect="00BE205D">
      <w:headerReference w:type="default" r:id="rId12"/>
      <w:pgSz w:w="11906" w:h="16838"/>
      <w:pgMar w:top="1200" w:right="1440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F8C" w:rsidRDefault="00637F8C" w:rsidP="00BE205D">
      <w:pPr>
        <w:spacing w:after="0" w:line="240" w:lineRule="auto"/>
      </w:pPr>
      <w:r>
        <w:separator/>
      </w:r>
    </w:p>
  </w:endnote>
  <w:endnote w:type="continuationSeparator" w:id="1">
    <w:p w:rsidR="00637F8C" w:rsidRDefault="00637F8C" w:rsidP="00BE2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F8C" w:rsidRDefault="00637F8C" w:rsidP="00BE205D">
      <w:pPr>
        <w:spacing w:after="0" w:line="240" w:lineRule="auto"/>
      </w:pPr>
      <w:r>
        <w:separator/>
      </w:r>
    </w:p>
  </w:footnote>
  <w:footnote w:type="continuationSeparator" w:id="1">
    <w:p w:rsidR="00637F8C" w:rsidRDefault="00637F8C" w:rsidP="00BE2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05D" w:rsidRPr="00BE205D" w:rsidRDefault="00BE205D" w:rsidP="00BE205D">
    <w:pPr>
      <w:spacing w:after="0"/>
      <w:rPr>
        <w:rFonts w:ascii="Verdana" w:hAnsi="Verdana"/>
        <w:b/>
        <w:i/>
        <w:sz w:val="12"/>
        <w:szCs w:val="12"/>
      </w:rPr>
    </w:pPr>
    <w:r>
      <w:rPr>
        <w:rFonts w:ascii="Verdana" w:hAnsi="Verdana"/>
        <w:b/>
        <w:i/>
        <w:sz w:val="14"/>
        <w:szCs w:val="14"/>
      </w:rPr>
      <w:t xml:space="preserve">           </w:t>
    </w:r>
    <w:r w:rsidRPr="00BE205D">
      <w:rPr>
        <w:rFonts w:ascii="Verdana" w:hAnsi="Verdana"/>
        <w:b/>
        <w:i/>
        <w:sz w:val="12"/>
        <w:szCs w:val="12"/>
      </w:rPr>
      <w:t xml:space="preserve">VIJAYA BANK        </w:t>
    </w:r>
  </w:p>
  <w:p w:rsidR="00BE205D" w:rsidRPr="00BE205D" w:rsidRDefault="00BE205D" w:rsidP="00BE205D">
    <w:pPr>
      <w:spacing w:after="0"/>
      <w:rPr>
        <w:rFonts w:ascii="Verdana" w:eastAsia="Batang" w:hAnsi="Verdana" w:cs="Arial"/>
        <w:b/>
        <w:i/>
        <w:sz w:val="12"/>
        <w:szCs w:val="12"/>
      </w:rPr>
    </w:pPr>
    <w:r w:rsidRPr="00BE205D">
      <w:rPr>
        <w:i/>
        <w:noProof/>
        <w:sz w:val="12"/>
        <w:szCs w:val="12"/>
        <w:lang w:val="en-IN" w:eastAsia="en-I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18415</wp:posOffset>
          </wp:positionH>
          <wp:positionV relativeFrom="margin">
            <wp:posOffset>-481330</wp:posOffset>
          </wp:positionV>
          <wp:extent cx="260350" cy="342900"/>
          <wp:effectExtent l="19050" t="19050" r="25400" b="19050"/>
          <wp:wrapTopAndBottom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" cy="342900"/>
                  </a:xfrm>
                  <a:prstGeom prst="rect">
                    <a:avLst/>
                  </a:prstGeom>
                  <a:noFill/>
                  <a:ln w="9525">
                    <a:solidFill>
                      <a:srgbClr val="FFFF99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E205D">
      <w:rPr>
        <w:rFonts w:ascii="Verdana" w:hAnsi="Verdana"/>
        <w:b/>
        <w:i/>
        <w:sz w:val="12"/>
        <w:szCs w:val="12"/>
      </w:rPr>
      <w:t xml:space="preserve">           </w:t>
    </w:r>
    <w:r>
      <w:rPr>
        <w:rFonts w:ascii="Verdana" w:hAnsi="Verdana"/>
        <w:b/>
        <w:i/>
        <w:sz w:val="12"/>
        <w:szCs w:val="12"/>
      </w:rPr>
      <w:t xml:space="preserve">  </w:t>
    </w:r>
    <w:r w:rsidRPr="00BE205D">
      <w:rPr>
        <w:rFonts w:ascii="Verdana" w:hAnsi="Verdana"/>
        <w:b/>
        <w:i/>
        <w:sz w:val="12"/>
        <w:szCs w:val="12"/>
      </w:rPr>
      <w:t xml:space="preserve">HOC 15282 - </w:t>
    </w:r>
    <w:r w:rsidRPr="00BE205D">
      <w:rPr>
        <w:rFonts w:ascii="Verdana" w:eastAsia="Batang" w:hAnsi="Verdana" w:cs="Arial"/>
        <w:b/>
        <w:i/>
        <w:sz w:val="12"/>
        <w:szCs w:val="12"/>
      </w:rPr>
      <w:t>IBA’S MEDICAL INSURANCE SCHEME FOR RETIREE OFFICERS/EMPLOYEES</w:t>
    </w:r>
  </w:p>
  <w:p w:rsidR="00BE205D" w:rsidRPr="00BE205D" w:rsidRDefault="00BE205D" w:rsidP="00BE205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cumentProtection w:edit="readOnly" w:enforcement="1" w:cryptProviderType="rsaFull" w:cryptAlgorithmClass="hash" w:cryptAlgorithmType="typeAny" w:cryptAlgorithmSid="4" w:cryptSpinCount="50000" w:hash="DtDtdXW22YolTgRNs17krdI1GCQ=" w:salt="UgjPz0zS4+TgdPyZFLllPg==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E19"/>
    <w:rsid w:val="000004D6"/>
    <w:rsid w:val="00077E19"/>
    <w:rsid w:val="000B52DB"/>
    <w:rsid w:val="001542FD"/>
    <w:rsid w:val="001D55E0"/>
    <w:rsid w:val="0024096B"/>
    <w:rsid w:val="0027025A"/>
    <w:rsid w:val="003328A7"/>
    <w:rsid w:val="003646DB"/>
    <w:rsid w:val="003707D6"/>
    <w:rsid w:val="0053101B"/>
    <w:rsid w:val="00586C05"/>
    <w:rsid w:val="005C7D8C"/>
    <w:rsid w:val="005E1552"/>
    <w:rsid w:val="00637F8C"/>
    <w:rsid w:val="00867969"/>
    <w:rsid w:val="00A9280E"/>
    <w:rsid w:val="00BE205D"/>
    <w:rsid w:val="00C21AD3"/>
    <w:rsid w:val="00DD3F69"/>
    <w:rsid w:val="00E74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E19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E74F67"/>
    <w:pPr>
      <w:keepNext/>
      <w:spacing w:after="0" w:line="240" w:lineRule="auto"/>
      <w:jc w:val="right"/>
      <w:outlineLvl w:val="0"/>
    </w:pPr>
    <w:rPr>
      <w:rFonts w:ascii="Verdana" w:eastAsia="Times New Roman" w:hAnsi="Verdana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74F67"/>
    <w:rPr>
      <w:rFonts w:ascii="Verdana" w:eastAsia="Times New Roman" w:hAnsi="Verdana" w:cs="Times New Roman"/>
      <w:b/>
      <w:szCs w:val="20"/>
      <w:lang w:val="en-US"/>
    </w:rPr>
  </w:style>
  <w:style w:type="paragraph" w:styleId="NoSpacing">
    <w:name w:val="No Spacing"/>
    <w:uiPriority w:val="1"/>
    <w:qFormat/>
    <w:rsid w:val="00E74F67"/>
    <w:pPr>
      <w:spacing w:after="0" w:line="240" w:lineRule="auto"/>
    </w:pPr>
    <w:rPr>
      <w:rFonts w:ascii="Calibri" w:eastAsia="Calibri" w:hAnsi="Calibri" w:cs="Mangal"/>
      <w:szCs w:val="20"/>
      <w:lang w:val="en-US" w:bidi="hi-IN"/>
    </w:rPr>
  </w:style>
  <w:style w:type="paragraph" w:styleId="ListParagraph">
    <w:name w:val="List Paragraph"/>
    <w:basedOn w:val="Normal"/>
    <w:uiPriority w:val="34"/>
    <w:qFormat/>
    <w:rsid w:val="00E74F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E19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BE2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205D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BE20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205D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680</Characters>
  <Application>Microsoft Office Word</Application>
  <DocSecurity>8</DocSecurity>
  <Lines>5</Lines>
  <Paragraphs>1</Paragraphs>
  <ScaleCrop>false</ScaleCrop>
  <Company>Wipro Limited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9308</cp:lastModifiedBy>
  <cp:revision>9</cp:revision>
  <dcterms:created xsi:type="dcterms:W3CDTF">2015-10-17T08:54:00Z</dcterms:created>
  <dcterms:modified xsi:type="dcterms:W3CDTF">2015-12-09T10:51:00Z</dcterms:modified>
</cp:coreProperties>
</file>